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2"/>
          <w:szCs w:val="22"/>
          <w:lang w:eastAsia="ja-JP"/>
        </w:rPr>
      </w:pPr>
      <w:bookmarkStart w:id="0" w:name="OLE_LINK25"/>
      <w:r>
        <w:rPr>
          <w:rFonts w:hint="eastAsia"/>
          <w:b/>
          <w:sz w:val="22"/>
          <w:szCs w:val="22"/>
          <w:lang w:eastAsia="ja-JP"/>
        </w:rPr>
        <w:t>3GPP TSG RAN WG1 #</w:t>
      </w:r>
      <w:r>
        <w:rPr>
          <w:rFonts w:hint="eastAsia"/>
          <w:b/>
          <w:sz w:val="22"/>
          <w:szCs w:val="22"/>
          <w:lang w:val="en-US" w:eastAsia="zh-CN"/>
        </w:rPr>
        <w:t>120</w:t>
      </w:r>
      <w:r>
        <w:rPr>
          <w:rFonts w:hint="eastAsia"/>
          <w:b/>
          <w:sz w:val="22"/>
          <w:szCs w:val="22"/>
          <w:lang w:val="en-US" w:eastAsia="zh-CN"/>
        </w:rPr>
        <w:tab/>
      </w:r>
      <w:r>
        <w:rPr>
          <w:rFonts w:hint="eastAsia"/>
          <w:b/>
          <w:sz w:val="22"/>
          <w:szCs w:val="22"/>
          <w:lang w:val="en-US" w:eastAsia="zh-CN"/>
        </w:rPr>
        <w:t>R1-2500537</w:t>
      </w:r>
      <w:r>
        <w:rPr>
          <w:rFonts w:hint="eastAsia"/>
          <w:b/>
          <w:sz w:val="22"/>
          <w:szCs w:val="22"/>
          <w:lang w:eastAsia="ja-JP"/>
        </w:rPr>
        <w:t xml:space="preserve">                                                                         </w:t>
      </w:r>
    </w:p>
    <w:bookmarkEnd w:id="0"/>
    <w:p>
      <w:pPr>
        <w:pStyle w:val="119"/>
        <w:tabs>
          <w:tab w:val="right" w:pos="9639"/>
        </w:tabs>
        <w:spacing w:after="0"/>
        <w:rPr>
          <w:b/>
          <w:sz w:val="22"/>
          <w:szCs w:val="22"/>
          <w:lang w:val="en-US" w:eastAsia="zh-CN"/>
        </w:rPr>
      </w:pPr>
      <w:r>
        <w:rPr>
          <w:rFonts w:hint="eastAsia"/>
          <w:b/>
          <w:sz w:val="22"/>
          <w:szCs w:val="22"/>
          <w:lang w:val="en-US" w:eastAsia="zh-CN"/>
        </w:rPr>
        <w:t>Athens, Greece, February 17</w:t>
      </w:r>
      <w:r>
        <w:rPr>
          <w:rFonts w:hint="eastAsia"/>
          <w:b/>
          <w:sz w:val="22"/>
          <w:szCs w:val="22"/>
          <w:vertAlign w:val="superscript"/>
          <w:lang w:val="en-US" w:eastAsia="zh-CN"/>
        </w:rPr>
        <w:t>th</w:t>
      </w:r>
      <w:r>
        <w:rPr>
          <w:rFonts w:cs="Arial"/>
          <w:b/>
          <w:sz w:val="22"/>
          <w:szCs w:val="22"/>
          <w:lang w:val="en-US" w:eastAsia="zh-CN"/>
        </w:rPr>
        <w:t xml:space="preserve"> – </w:t>
      </w:r>
      <w:r>
        <w:rPr>
          <w:rFonts w:hint="eastAsia" w:cs="Arial"/>
          <w:b/>
          <w:sz w:val="22"/>
          <w:szCs w:val="22"/>
          <w:lang w:val="en-US" w:eastAsia="zh-CN"/>
        </w:rPr>
        <w:t>21</w:t>
      </w:r>
      <w:r>
        <w:rPr>
          <w:rFonts w:hint="eastAsia" w:cs="Arial"/>
          <w:b/>
          <w:sz w:val="22"/>
          <w:szCs w:val="22"/>
          <w:vertAlign w:val="superscript"/>
          <w:lang w:val="en-US" w:eastAsia="zh-CN"/>
        </w:rPr>
        <w:t>st</w:t>
      </w:r>
      <w:r>
        <w:rPr>
          <w:rFonts w:hint="eastAsia"/>
          <w:b/>
          <w:sz w:val="22"/>
          <w:szCs w:val="22"/>
          <w:lang w:val="en-US" w:eastAsia="zh-CN"/>
        </w:rPr>
        <w:t>, 2025</w:t>
      </w:r>
    </w:p>
    <w:p>
      <w:pPr>
        <w:pStyle w:val="119"/>
        <w:tabs>
          <w:tab w:val="right" w:pos="9639"/>
        </w:tabs>
        <w:spacing w:after="0"/>
        <w:rPr>
          <w:b/>
          <w:sz w:val="22"/>
          <w:szCs w:val="22"/>
          <w:lang w:val="en-US" w:eastAsia="zh-CN"/>
        </w:rPr>
      </w:pPr>
    </w:p>
    <w:p>
      <w:pPr>
        <w:pStyle w:val="43"/>
        <w:tabs>
          <w:tab w:val="left" w:pos="1805"/>
          <w:tab w:val="right" w:pos="9072"/>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w:t>
      </w:r>
      <w:r>
        <w:rPr>
          <w:rFonts w:hint="eastAsia"/>
          <w:sz w:val="22"/>
          <w:szCs w:val="22"/>
          <w:lang w:eastAsia="zh-CN"/>
        </w:rPr>
        <w:t>TE Corporation, Sanechips</w:t>
      </w:r>
    </w:p>
    <w:p>
      <w:pPr>
        <w:pStyle w:val="43"/>
        <w:tabs>
          <w:tab w:val="left" w:pos="1800"/>
          <w:tab w:val="center" w:pos="4536"/>
          <w:tab w:val="right" w:pos="9072"/>
        </w:tabs>
        <w:snapToGrid w:val="0"/>
        <w:ind w:left="1840" w:hanging="1840" w:hangingChars="833"/>
        <w:rPr>
          <w:rFonts w:ascii="Times New Roman" w:hAnsi="Times New Roman" w:eastAsia="宋体"/>
          <w:bCs/>
          <w:sz w:val="22"/>
          <w:szCs w:val="22"/>
          <w:lang w:val="en-US"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val="en-US" w:eastAsia="zh-CN"/>
        </w:rPr>
        <w:t>Discussion on transmission power reduction for STxMP in TS 38.213</w:t>
      </w:r>
    </w:p>
    <w:p>
      <w:pPr>
        <w:pStyle w:val="43"/>
        <w:tabs>
          <w:tab w:val="left" w:pos="1800"/>
          <w:tab w:val="center" w:pos="4536"/>
          <w:tab w:val="right" w:pos="9072"/>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w:t>
      </w:r>
    </w:p>
    <w:p>
      <w:pPr>
        <w:pBdr>
          <w:bottom w:val="single" w:color="auto" w:sz="6" w:space="1"/>
        </w:pBdr>
        <w:snapToGrid w:val="0"/>
        <w:spacing w:after="240"/>
        <w:ind w:left="1800" w:hanging="1800"/>
        <w:rPr>
          <w:b/>
          <w:sz w:val="22"/>
          <w:szCs w:val="22"/>
          <w:lang w:eastAsia="ja-JP"/>
        </w:rPr>
      </w:pPr>
      <w:r>
        <w:rPr>
          <w:rFonts w:ascii="Arial" w:hAnsi="Arial" w:eastAsia="MS Mincho"/>
          <w:b/>
          <w:sz w:val="22"/>
          <w:szCs w:val="22"/>
        </w:rPr>
        <w:t>Document for:</w:t>
      </w:r>
      <w:r>
        <w:rPr>
          <w:b/>
          <w:sz w:val="22"/>
          <w:szCs w:val="22"/>
          <w:lang w:eastAsia="ja-JP"/>
        </w:rPr>
        <w:tab/>
      </w:r>
      <w:r>
        <w:rPr>
          <w:rFonts w:ascii="Arial" w:hAnsi="Arial" w:eastAsia="MS Mincho"/>
          <w:b/>
          <w:sz w:val="22"/>
          <w:szCs w:val="22"/>
          <w:lang w:eastAsia="ja-JP"/>
        </w:rPr>
        <w:t>Discussion and Decision</w:t>
      </w:r>
    </w:p>
    <w:p>
      <w:pPr>
        <w:numPr>
          <w:ilvl w:val="0"/>
          <w:numId w:val="23"/>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rPr>
      </w:pPr>
      <w:r>
        <w:rPr>
          <w:rFonts w:hint="eastAsia" w:eastAsia="微软雅黑"/>
        </w:rPr>
        <w:t xml:space="preserve">In this contribution, we elaborate our views on </w:t>
      </w:r>
      <w:r>
        <w:rPr>
          <w:rFonts w:eastAsia="微软雅黑"/>
        </w:rPr>
        <w:t>the</w:t>
      </w:r>
      <w:r>
        <w:rPr>
          <w:rFonts w:hint="eastAsia" w:eastAsia="微软雅黑"/>
          <w:lang w:val="en-US" w:eastAsia="zh-CN"/>
        </w:rPr>
        <w:t xml:space="preserve"> </w:t>
      </w:r>
      <w:r>
        <w:rPr>
          <w:rFonts w:hint="eastAsia" w:eastAsia="微软雅黑"/>
        </w:rPr>
        <w:t>transmission power reduction for STxMP in TS 38.213.</w:t>
      </w:r>
    </w:p>
    <w:p>
      <w:pPr>
        <w:numPr>
          <w:ilvl w:val="0"/>
          <w:numId w:val="23"/>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lang w:val="en-US" w:eastAsia="zh-CN"/>
        </w:rPr>
        <w:t>Discussion</w:t>
      </w:r>
    </w:p>
    <w:p>
      <w:pPr>
        <w:spacing w:before="72" w:beforeLines="30" w:after="72" w:afterLines="30" w:line="288" w:lineRule="auto"/>
        <w:jc w:val="both"/>
        <w:rPr>
          <w:lang w:val="en-US" w:eastAsia="zh-CN"/>
        </w:rPr>
      </w:pPr>
      <w:r>
        <w:rPr>
          <w:rFonts w:hint="eastAsia"/>
          <w:lang w:val="en-US" w:eastAsia="zh-CN"/>
        </w:rPr>
        <w:t>According to the agreement reached in RAN1#112 meeting [1], for STxMP, the maximum Tx power when the UE determines UL Tx power for the PUSCH/PUCCH transmission occasion(s) or antenna port(s) are intended to be discussed after receiving RAN4 reply on UE power limitation for STxMP in FR2. Till now, the configured UE maximum output power for STxMP has already been captured in RAN1 and RAN4 specifications.</w:t>
      </w:r>
    </w:p>
    <w:p>
      <w:pPr>
        <w:spacing w:before="72" w:beforeLines="30" w:after="72" w:afterLines="30" w:line="288" w:lineRule="auto"/>
        <w:jc w:val="both"/>
        <w:rPr>
          <w:lang w:val="en-US" w:eastAsia="zh-CN"/>
        </w:rPr>
      </w:pPr>
      <w:r>
        <w:rPr>
          <w:rFonts w:hint="eastAsia"/>
          <w:lang w:val="en-US" w:eastAsia="zh-CN"/>
        </w:rPr>
        <w:t>According to clause 7.1 and clause 7.2 in TS 38.213, in case of STxMP, where UE determines to apply both the first TCI-State or TCI-UL-State and the second TCI-State or TCI-UL-State in a PUCCH/PUSCH transmission occasion, UE should determine PUCCH/PUSCH transmission power for the first and second TCI-State or TCI-UL-State based on the UE configured maximum output power for the first and second TCI-State or TCI-UL-State, respectively. The UE configured maximum output power for each of joint/UL TCI states indicated for simultaneous transmission to multiple directions are defined in RAN4 specifications.</w:t>
      </w:r>
    </w:p>
    <w:p>
      <w:pPr>
        <w:spacing w:before="72" w:beforeLines="30" w:after="72" w:afterLines="30" w:line="288" w:lineRule="auto"/>
        <w:jc w:val="both"/>
        <w:rPr>
          <w:lang w:val="en-US" w:eastAsia="zh-CN"/>
        </w:rPr>
      </w:pPr>
      <w:r>
        <w:rPr>
          <w:rFonts w:hint="eastAsia"/>
          <w:lang w:val="en-US" w:eastAsia="zh-CN"/>
        </w:rPr>
        <w:t xml:space="preserve">According to the following conditions excerpted from the LS from RAN4 regarding the configured Tx power for STxMP in FR2 [2], we have the following considerations.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napToGrid w:val="0"/>
              <w:spacing w:before="60" w:after="60" w:line="288" w:lineRule="auto"/>
              <w:jc w:val="both"/>
              <w:textAlignment w:val="baseline"/>
              <w:rPr>
                <w:rFonts w:eastAsia="宋体"/>
                <w:iCs/>
                <w:lang w:val="en-US" w:eastAsia="zh-CN"/>
              </w:rPr>
            </w:pPr>
            <w:r>
              <w:rPr>
                <w:rFonts w:hint="eastAsia" w:eastAsia="宋体"/>
                <w:iCs/>
                <w:lang w:val="en-US" w:eastAsia="zh-CN"/>
              </w:rPr>
              <w:t>RAN4 would like to confirm to RAN1 the conditions to be simultaneously met by a UE for STxMP:</w:t>
            </w:r>
          </w:p>
          <w:p>
            <w:pPr>
              <w:overflowPunct w:val="0"/>
              <w:autoSpaceDE w:val="0"/>
              <w:autoSpaceDN w:val="0"/>
              <w:adjustRightInd w:val="0"/>
              <w:snapToGrid w:val="0"/>
              <w:spacing w:before="60" w:after="60" w:line="288" w:lineRule="auto"/>
              <w:ind w:left="400" w:leftChars="200"/>
              <w:jc w:val="both"/>
              <w:textAlignment w:val="baseline"/>
              <w:rPr>
                <w:rFonts w:eastAsia="宋体"/>
                <w:iCs/>
                <w:lang w:val="en-US" w:eastAsia="zh-CN"/>
              </w:rPr>
            </w:pPr>
            <w:r>
              <w:rPr>
                <w:rFonts w:hint="eastAsia" w:eastAsia="宋体"/>
                <w:iCs/>
                <w:lang w:val="en-US" w:eastAsia="zh-CN"/>
              </w:rPr>
              <w:t xml:space="preserve">1. The total EIRP over all panels cannot exceed the existing EIRP limitation. </w:t>
            </w:r>
          </w:p>
          <w:p>
            <w:pPr>
              <w:overflowPunct w:val="0"/>
              <w:autoSpaceDE w:val="0"/>
              <w:autoSpaceDN w:val="0"/>
              <w:adjustRightInd w:val="0"/>
              <w:snapToGrid w:val="0"/>
              <w:spacing w:before="60" w:after="60" w:line="288" w:lineRule="auto"/>
              <w:ind w:left="400" w:leftChars="200"/>
              <w:jc w:val="both"/>
              <w:textAlignment w:val="baseline"/>
              <w:rPr>
                <w:rFonts w:eastAsia="宋体"/>
                <w:iCs/>
                <w:lang w:val="en-US" w:eastAsia="zh-CN"/>
              </w:rPr>
            </w:pPr>
            <w:r>
              <w:rPr>
                <w:rFonts w:hint="eastAsia" w:eastAsia="宋体"/>
                <w:iCs/>
                <w:lang w:val="en-US" w:eastAsia="zh-CN"/>
              </w:rPr>
              <w:t>2. The total TRP over all panels cannot exceed the existing TRP limitation.</w:t>
            </w:r>
          </w:p>
          <w:p>
            <w:pPr>
              <w:overflowPunct w:val="0"/>
              <w:autoSpaceDE w:val="0"/>
              <w:autoSpaceDN w:val="0"/>
              <w:adjustRightInd w:val="0"/>
              <w:snapToGrid w:val="0"/>
              <w:spacing w:before="60" w:after="60" w:line="288" w:lineRule="auto"/>
              <w:ind w:left="400" w:leftChars="200"/>
              <w:jc w:val="both"/>
              <w:textAlignment w:val="baseline"/>
              <w:rPr>
                <w:rFonts w:eastAsia="宋体"/>
                <w:iCs/>
                <w:lang w:val="en-US" w:eastAsia="zh-CN"/>
              </w:rPr>
            </w:pPr>
            <w:r>
              <w:rPr>
                <w:rFonts w:hint="eastAsia" w:eastAsia="宋体"/>
                <w:iCs/>
                <w:lang w:val="en-US" w:eastAsia="zh-CN"/>
              </w:rPr>
              <w:t xml:space="preserve">3. The sum of per-panel EIRP power limitation for STxMP can be greater than the existing EIRP limitation. </w:t>
            </w:r>
          </w:p>
          <w:p>
            <w:pPr>
              <w:overflowPunct w:val="0"/>
              <w:autoSpaceDE w:val="0"/>
              <w:autoSpaceDN w:val="0"/>
              <w:adjustRightInd w:val="0"/>
              <w:snapToGrid w:val="0"/>
              <w:spacing w:before="60" w:after="60" w:line="288" w:lineRule="auto"/>
              <w:ind w:left="800" w:leftChars="400"/>
              <w:jc w:val="both"/>
              <w:textAlignment w:val="baseline"/>
              <w:rPr>
                <w:rFonts w:eastAsia="宋体"/>
                <w:iCs/>
                <w:lang w:val="en-US" w:eastAsia="zh-CN"/>
              </w:rPr>
            </w:pPr>
            <w:r>
              <w:rPr>
                <w:rFonts w:hint="eastAsia" w:eastAsia="宋体"/>
                <w:iCs/>
                <w:lang w:val="en-US" w:eastAsia="zh-CN"/>
              </w:rPr>
              <w:t xml:space="preserve">a. See condition #1, which must always be obeyed. </w:t>
            </w:r>
          </w:p>
          <w:p>
            <w:pPr>
              <w:overflowPunct w:val="0"/>
              <w:autoSpaceDE w:val="0"/>
              <w:autoSpaceDN w:val="0"/>
              <w:adjustRightInd w:val="0"/>
              <w:snapToGrid w:val="0"/>
              <w:spacing w:before="60" w:after="60" w:line="288" w:lineRule="auto"/>
              <w:ind w:left="800" w:leftChars="400"/>
              <w:jc w:val="both"/>
              <w:textAlignment w:val="baseline"/>
              <w:rPr>
                <w:rFonts w:eastAsia="宋体"/>
                <w:iCs/>
                <w:lang w:val="en-US" w:eastAsia="zh-CN"/>
              </w:rPr>
            </w:pPr>
            <w:r>
              <w:rPr>
                <w:rFonts w:hint="eastAsia" w:eastAsia="宋体"/>
                <w:iCs/>
                <w:lang w:val="en-US" w:eastAsia="zh-CN"/>
              </w:rPr>
              <w:t>b. In cases where the beams for each panel have low enough spatial overlap, this clause allows EIRP for each panel to individually approach the existing EIRP limitation.</w:t>
            </w:r>
          </w:p>
          <w:p>
            <w:pPr>
              <w:overflowPunct w:val="0"/>
              <w:autoSpaceDE w:val="0"/>
              <w:autoSpaceDN w:val="0"/>
              <w:adjustRightInd w:val="0"/>
              <w:snapToGrid w:val="0"/>
              <w:spacing w:before="60" w:after="60" w:line="288" w:lineRule="auto"/>
              <w:ind w:left="800" w:leftChars="400"/>
              <w:jc w:val="both"/>
              <w:textAlignment w:val="baseline"/>
              <w:rPr>
                <w:rFonts w:eastAsia="宋体"/>
                <w:iCs/>
                <w:lang w:val="en-US" w:eastAsia="zh-CN"/>
              </w:rPr>
            </w:pPr>
            <w:r>
              <w:rPr>
                <w:rFonts w:hint="eastAsia" w:eastAsia="宋体"/>
                <w:iCs/>
                <w:lang w:val="en-US" w:eastAsia="zh-CN"/>
              </w:rPr>
              <w:t xml:space="preserve">c. RAN4 has not completed spec. definition work for </w:t>
            </w:r>
            <w:r>
              <w:rPr>
                <w:rFonts w:eastAsia="宋体"/>
                <w:iCs/>
                <w:lang w:val="en-US" w:eastAsia="zh-CN"/>
              </w:rPr>
              <w:t>‘</w:t>
            </w:r>
            <w:r>
              <w:rPr>
                <w:rFonts w:hint="eastAsia" w:eastAsia="宋体"/>
                <w:iCs/>
                <w:lang w:val="en-US" w:eastAsia="zh-CN"/>
              </w:rPr>
              <w:t>per panel EIRP power limitation</w:t>
            </w:r>
            <w:r>
              <w:rPr>
                <w:rFonts w:eastAsia="宋体"/>
                <w:iCs/>
                <w:lang w:val="en-US" w:eastAsia="zh-CN"/>
              </w:rPr>
              <w:t>’</w:t>
            </w:r>
            <w:r>
              <w:rPr>
                <w:rFonts w:hint="eastAsia" w:eastAsia="宋体"/>
                <w:iCs/>
                <w:lang w:val="en-US" w:eastAsia="zh-CN"/>
              </w:rPr>
              <w:t>.</w:t>
            </w:r>
          </w:p>
          <w:p>
            <w:pPr>
              <w:overflowPunct w:val="0"/>
              <w:autoSpaceDE w:val="0"/>
              <w:autoSpaceDN w:val="0"/>
              <w:adjustRightInd w:val="0"/>
              <w:snapToGrid w:val="0"/>
              <w:spacing w:before="60" w:after="60" w:line="288" w:lineRule="auto"/>
              <w:ind w:left="400" w:leftChars="200"/>
              <w:jc w:val="both"/>
              <w:textAlignment w:val="baseline"/>
              <w:rPr>
                <w:rFonts w:eastAsia="宋体"/>
                <w:iCs/>
                <w:lang w:val="en-US" w:eastAsia="zh-CN"/>
              </w:rPr>
            </w:pPr>
            <w:r>
              <w:rPr>
                <w:rFonts w:hint="eastAsia" w:eastAsia="宋体"/>
                <w:iCs/>
                <w:lang w:val="en-US" w:eastAsia="zh-CN"/>
              </w:rPr>
              <w:t xml:space="preserve">4. No explicit </w:t>
            </w:r>
            <w:r>
              <w:rPr>
                <w:rFonts w:eastAsia="宋体"/>
                <w:iCs/>
                <w:lang w:val="en-US" w:eastAsia="zh-CN"/>
              </w:rPr>
              <w:t>‘</w:t>
            </w:r>
            <w:r>
              <w:rPr>
                <w:rFonts w:hint="eastAsia" w:eastAsia="宋体"/>
                <w:iCs/>
                <w:lang w:val="en-US" w:eastAsia="zh-CN"/>
              </w:rPr>
              <w:t>per-panel</w:t>
            </w:r>
            <w:r>
              <w:rPr>
                <w:rFonts w:eastAsia="宋体"/>
                <w:iCs/>
                <w:lang w:val="en-US" w:eastAsia="zh-CN"/>
              </w:rPr>
              <w:t>’</w:t>
            </w:r>
            <w:r>
              <w:rPr>
                <w:rFonts w:hint="eastAsia" w:eastAsia="宋体"/>
                <w:iCs/>
                <w:lang w:val="en-US" w:eastAsia="zh-CN"/>
              </w:rPr>
              <w:t xml:space="preserve"> TRP limit is deemed necessary.</w:t>
            </w:r>
          </w:p>
        </w:tc>
      </w:tr>
    </w:tbl>
    <w:p>
      <w:pPr>
        <w:numPr>
          <w:ilvl w:val="0"/>
          <w:numId w:val="24"/>
        </w:numPr>
        <w:spacing w:before="72" w:beforeLines="30" w:after="72" w:afterLines="30" w:line="288" w:lineRule="auto"/>
        <w:jc w:val="both"/>
        <w:rPr>
          <w:lang w:val="en-US" w:eastAsia="zh-CN"/>
        </w:rPr>
      </w:pPr>
      <w:r>
        <w:rPr>
          <w:rFonts w:hint="eastAsia"/>
          <w:lang w:val="en-US" w:eastAsia="zh-CN"/>
        </w:rPr>
        <w:t>Condition-1: EIRP represents the limitation of the total transmission power of the entire device. Regardless of the number of panels, the total EIRP must not exceed this limitation.</w:t>
      </w:r>
    </w:p>
    <w:p>
      <w:pPr>
        <w:numPr>
          <w:ilvl w:val="0"/>
          <w:numId w:val="24"/>
        </w:numPr>
        <w:spacing w:before="72" w:beforeLines="30" w:after="72" w:afterLines="30" w:line="288" w:lineRule="auto"/>
        <w:jc w:val="both"/>
        <w:rPr>
          <w:lang w:val="en-US" w:eastAsia="zh-CN"/>
        </w:rPr>
      </w:pPr>
      <w:r>
        <w:rPr>
          <w:rFonts w:hint="eastAsia"/>
          <w:lang w:val="en-US" w:eastAsia="zh-CN"/>
        </w:rPr>
        <w:t>Condition-2: TRP focuses on the total radiated power of the entire device across all directions, while EIRP represents the maximum power in a specific direction. Both EIRP and TRP serve as</w:t>
      </w:r>
      <w:r>
        <w:rPr>
          <w:lang w:val="en-US" w:eastAsia="zh-CN"/>
        </w:rPr>
        <w:t xml:space="preserve"> respective metrics for presenting</w:t>
      </w:r>
      <w:r>
        <w:rPr>
          <w:rFonts w:hint="eastAsia"/>
          <w:lang w:val="en-US" w:eastAsia="zh-CN"/>
        </w:rPr>
        <w:t xml:space="preserve"> total </w:t>
      </w:r>
      <w:r>
        <w:rPr>
          <w:lang w:val="en-US" w:eastAsia="zh-CN"/>
        </w:rPr>
        <w:t xml:space="preserve">Tx </w:t>
      </w:r>
      <w:r>
        <w:rPr>
          <w:rFonts w:hint="eastAsia"/>
          <w:lang w:val="en-US" w:eastAsia="zh-CN"/>
        </w:rPr>
        <w:t xml:space="preserve">power </w:t>
      </w:r>
      <w:r>
        <w:rPr>
          <w:lang w:val="en-US" w:eastAsia="zh-CN"/>
        </w:rPr>
        <w:t>limitation</w:t>
      </w:r>
      <w:r>
        <w:rPr>
          <w:rFonts w:hint="eastAsia"/>
          <w:lang w:val="en-US" w:eastAsia="zh-CN"/>
        </w:rPr>
        <w:t>.</w:t>
      </w:r>
    </w:p>
    <w:p>
      <w:pPr>
        <w:numPr>
          <w:ilvl w:val="0"/>
          <w:numId w:val="24"/>
        </w:numPr>
        <w:spacing w:before="72" w:beforeLines="30" w:after="72" w:afterLines="30" w:line="288" w:lineRule="auto"/>
        <w:jc w:val="both"/>
        <w:rPr>
          <w:lang w:val="en-US" w:eastAsia="zh-CN"/>
        </w:rPr>
      </w:pPr>
      <w:r>
        <w:rPr>
          <w:rFonts w:hint="eastAsia"/>
          <w:lang w:val="en-US" w:eastAsia="zh-CN"/>
        </w:rPr>
        <w:t xml:space="preserve">Condition-3: Although the sum of </w:t>
      </w:r>
      <w:r>
        <w:rPr>
          <w:rFonts w:hint="eastAsia" w:eastAsia="宋体"/>
          <w:iCs/>
          <w:lang w:val="en-US" w:eastAsia="zh-CN"/>
        </w:rPr>
        <w:t>per-panel EIRP power limitation</w:t>
      </w:r>
      <w:r>
        <w:rPr>
          <w:rFonts w:hint="eastAsia"/>
          <w:lang w:val="en-US" w:eastAsia="zh-CN"/>
        </w:rPr>
        <w:t xml:space="preserve"> may exceed the existing EIRP limit, during actual uplink transmission, the total EIRP still cannot exceed the limitation. This may require sufficient spatial isolation between beams to avoid excessive total EIRP caused by simultaneous high-power transmissions.</w:t>
      </w:r>
    </w:p>
    <w:p>
      <w:pPr>
        <w:spacing w:before="72" w:beforeLines="30" w:after="72" w:afterLines="30" w:line="288" w:lineRule="auto"/>
        <w:jc w:val="both"/>
        <w:rPr>
          <w:lang w:val="en-US" w:eastAsia="zh-CN"/>
        </w:rPr>
      </w:pPr>
      <w:r>
        <w:rPr>
          <w:rFonts w:hint="eastAsia"/>
          <w:lang w:val="en-US" w:eastAsia="zh-CN"/>
        </w:rPr>
        <w:t xml:space="preserve">Meanwhile, according to the following excerpted from clause 6.2K.4 in TS 38101-2, it can be observed that the above conditions have been captured in RAN4 specifications.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Lines/>
              <w:overflowPunct w:val="0"/>
              <w:autoSpaceDE w:val="0"/>
              <w:autoSpaceDN w:val="0"/>
              <w:adjustRightInd w:val="0"/>
              <w:spacing w:before="72" w:beforeLines="30" w:after="72" w:afterLines="30" w:line="288" w:lineRule="auto"/>
              <w:jc w:val="both"/>
              <w:textAlignment w:val="baseline"/>
              <w:outlineLvl w:val="2"/>
              <w:rPr>
                <w:sz w:val="21"/>
                <w:szCs w:val="21"/>
              </w:rPr>
            </w:pPr>
            <w:bookmarkStart w:id="1" w:name="_Toc163204692"/>
            <w:bookmarkStart w:id="2" w:name="_Toc155389251"/>
            <w:bookmarkStart w:id="3" w:name="_Toc169873941"/>
            <w:bookmarkStart w:id="4" w:name="_Toc161831595"/>
            <w:bookmarkStart w:id="5" w:name="_Toc155406310"/>
            <w:r>
              <w:rPr>
                <w:b/>
                <w:bCs/>
                <w:sz w:val="21"/>
                <w:szCs w:val="21"/>
              </w:rPr>
              <w:t>6.2K.4</w:t>
            </w:r>
            <w:r>
              <w:rPr>
                <w:sz w:val="21"/>
                <w:szCs w:val="21"/>
              </w:rPr>
              <w:tab/>
            </w:r>
            <w:r>
              <w:rPr>
                <w:sz w:val="21"/>
                <w:szCs w:val="21"/>
              </w:rPr>
              <w:t>Configured transmitted power for simultaneous transmission to multiple directions</w:t>
            </w:r>
            <w:bookmarkEnd w:id="1"/>
            <w:bookmarkEnd w:id="2"/>
            <w:bookmarkEnd w:id="3"/>
            <w:bookmarkEnd w:id="4"/>
            <w:bookmarkEnd w:id="5"/>
          </w:p>
          <w:p>
            <w:pPr>
              <w:overflowPunct/>
              <w:autoSpaceDE/>
              <w:autoSpaceDN/>
              <w:adjustRightInd/>
              <w:spacing w:before="72" w:beforeLines="30" w:after="72" w:afterLines="30" w:line="288" w:lineRule="auto"/>
              <w:jc w:val="center"/>
              <w:textAlignment w:val="auto"/>
              <w:rPr>
                <w:rFonts w:eastAsia="宋体"/>
                <w:color w:val="FF0000"/>
                <w:lang w:val="en-US" w:eastAsia="zh-CN"/>
              </w:rPr>
            </w:pPr>
            <w:r>
              <w:rPr>
                <w:rFonts w:eastAsia="宋体"/>
                <w:color w:val="FF0000"/>
                <w:lang w:val="en-US" w:eastAsia="zh-CN"/>
              </w:rPr>
              <w:t>&lt;Unrelated parts are omitted&gt;</w:t>
            </w:r>
          </w:p>
          <w:p>
            <w:pPr>
              <w:overflowPunct/>
              <w:autoSpaceDE/>
              <w:autoSpaceDN/>
              <w:adjustRightInd/>
              <w:spacing w:before="72" w:beforeLines="30" w:after="72" w:afterLines="30" w:line="288" w:lineRule="auto"/>
              <w:textAlignment w:val="auto"/>
            </w:pPr>
            <w:r>
              <w:t>The configured UE maximum output power P</w:t>
            </w:r>
            <w:r>
              <w:rPr>
                <w:vertAlign w:val="subscript"/>
              </w:rPr>
              <w:t>CMAX,f,c,k</w:t>
            </w:r>
            <w:r>
              <w:t xml:space="preserve"> shall be set such that the corresponding measured peak EIRP P</w:t>
            </w:r>
            <w:r>
              <w:rPr>
                <w:vertAlign w:val="subscript"/>
              </w:rPr>
              <w:t>UMAX,f,c,k</w:t>
            </w:r>
            <w:r>
              <w:t xml:space="preserve"> is within the following bounds</w:t>
            </w:r>
          </w:p>
          <w:p>
            <w:pPr>
              <w:pStyle w:val="100"/>
              <w:overflowPunct/>
              <w:autoSpaceDE/>
              <w:autoSpaceDN/>
              <w:adjustRightInd/>
              <w:spacing w:before="72" w:beforeLines="30" w:after="72" w:afterLines="30" w:line="288" w:lineRule="auto"/>
              <w:textAlignment w:val="auto"/>
            </w:pPr>
            <w:r>
              <w:t>P</w:t>
            </w:r>
            <w:r>
              <w:rPr>
                <w:vertAlign w:val="subscript"/>
              </w:rPr>
              <w:t>Powerclass</w:t>
            </w:r>
            <w:r>
              <w:t xml:space="preserve"> + ΔP</w:t>
            </w:r>
            <w:r>
              <w:rPr>
                <w:vertAlign w:val="subscript"/>
              </w:rPr>
              <w:t>IBE</w:t>
            </w:r>
            <w:r>
              <w:t xml:space="preserve"> – MAX(MAX(MPR</w:t>
            </w:r>
            <w:r>
              <w:rPr>
                <w:vertAlign w:val="subscript"/>
              </w:rPr>
              <w:t>f,c,k</w:t>
            </w:r>
            <w:r>
              <w:t>, A- MPR</w:t>
            </w:r>
            <w:r>
              <w:rPr>
                <w:vertAlign w:val="subscript"/>
              </w:rPr>
              <w:t>f,c,k</w:t>
            </w:r>
            <w:r>
              <w:t>,) + ΔMPR</w:t>
            </w:r>
            <w:r>
              <w:rPr>
                <w:vertAlign w:val="subscript"/>
              </w:rPr>
              <w:t>STxMP</w:t>
            </w:r>
            <w:r>
              <w:t xml:space="preserve"> + ΔMB</w:t>
            </w:r>
            <w:r>
              <w:rPr>
                <w:vertAlign w:val="subscript"/>
              </w:rPr>
              <w:t>P,n</w:t>
            </w:r>
            <w:r>
              <w:t>, P-MPR</w:t>
            </w:r>
            <w:r>
              <w:rPr>
                <w:vertAlign w:val="subscript"/>
              </w:rPr>
              <w:t>f,c,k</w:t>
            </w:r>
            <w:r>
              <w:t>) – MAX{T(MAX(MPR</w:t>
            </w:r>
            <w:r>
              <w:rPr>
                <w:vertAlign w:val="subscript"/>
              </w:rPr>
              <w:t>f,c,k</w:t>
            </w:r>
            <w:r>
              <w:t>, A- MPR</w:t>
            </w:r>
            <w:r>
              <w:rPr>
                <w:vertAlign w:val="subscript"/>
              </w:rPr>
              <w:t>f,c,k</w:t>
            </w:r>
            <w:r>
              <w:t>,) + ΔMPR</w:t>
            </w:r>
            <w:r>
              <w:rPr>
                <w:vertAlign w:val="subscript"/>
              </w:rPr>
              <w:t>STxMP</w:t>
            </w:r>
            <w:r>
              <w:t>), T(P-MPR</w:t>
            </w:r>
            <w:r>
              <w:rPr>
                <w:vertAlign w:val="subscript"/>
              </w:rPr>
              <w:t>f,c,k</w:t>
            </w:r>
            <w:r>
              <w:t>)} – ΔT</w:t>
            </w:r>
            <w:r>
              <w:rPr>
                <w:vertAlign w:val="subscript"/>
              </w:rPr>
              <w:t>STxMP</w:t>
            </w:r>
            <w:r>
              <w:t xml:space="preserve">  ≤ P</w:t>
            </w:r>
            <w:r>
              <w:rPr>
                <w:vertAlign w:val="subscript"/>
              </w:rPr>
              <w:t>UMAX,f,c,k</w:t>
            </w:r>
            <w:r>
              <w:t xml:space="preserve"> ≤ EIRP</w:t>
            </w:r>
            <w:r>
              <w:rPr>
                <w:vertAlign w:val="subscript"/>
              </w:rPr>
              <w:t>max</w:t>
            </w:r>
          </w:p>
          <w:p>
            <w:pPr>
              <w:overflowPunct/>
              <w:autoSpaceDE/>
              <w:autoSpaceDN/>
              <w:adjustRightInd/>
              <w:spacing w:before="72" w:beforeLines="30" w:after="72" w:afterLines="30" w:line="288" w:lineRule="auto"/>
              <w:textAlignment w:val="auto"/>
            </w:pPr>
            <w:r>
              <w:t>and P</w:t>
            </w:r>
            <w:r>
              <w:rPr>
                <w:vertAlign w:val="subscript"/>
              </w:rPr>
              <w:t>UMAX,f,c</w:t>
            </w:r>
            <w:r>
              <w:t xml:space="preserve">, the corresponding measured peak EIRP for carrier </w:t>
            </w:r>
            <w:r>
              <w:rPr>
                <w:i/>
                <w:iCs/>
              </w:rPr>
              <w:t>f</w:t>
            </w:r>
            <w:r>
              <w:t xml:space="preserve"> of a serving cell </w:t>
            </w:r>
            <w:r>
              <w:rPr>
                <w:i/>
                <w:iCs/>
              </w:rPr>
              <w:t>c</w:t>
            </w:r>
            <w:r>
              <w:t>, aggregated over all indicated joint/UL TCI states in a given direction, satisfies over all directions</w:t>
            </w:r>
          </w:p>
          <w:p>
            <w:pPr>
              <w:overflowPunct/>
              <w:autoSpaceDE/>
              <w:autoSpaceDN/>
              <w:adjustRightInd/>
              <w:spacing w:before="72" w:beforeLines="30" w:after="72" w:afterLines="30" w:line="288" w:lineRule="auto"/>
              <w:jc w:val="center"/>
              <w:textAlignment w:val="auto"/>
            </w:pPr>
            <w:r>
              <w:tab/>
            </w:r>
            <w:r>
              <w:t>P</w:t>
            </w:r>
            <w:r>
              <w:rPr>
                <w:vertAlign w:val="subscript"/>
              </w:rPr>
              <w:t>UMAX,f,c</w:t>
            </w:r>
            <w:r>
              <w:t xml:space="preserve"> ≤ EIRP</w:t>
            </w:r>
            <w:r>
              <w:rPr>
                <w:vertAlign w:val="subscript"/>
              </w:rPr>
              <w:t>max</w:t>
            </w:r>
          </w:p>
          <w:p>
            <w:pPr>
              <w:overflowPunct/>
              <w:autoSpaceDE/>
              <w:autoSpaceDN/>
              <w:adjustRightInd/>
              <w:spacing w:before="72" w:beforeLines="30" w:after="72" w:afterLines="30" w:line="288" w:lineRule="auto"/>
              <w:textAlignment w:val="auto"/>
            </w:pPr>
            <w:r>
              <w:t>while the corresponding measured total radiated power P</w:t>
            </w:r>
            <w:r>
              <w:rPr>
                <w:vertAlign w:val="subscript"/>
              </w:rPr>
              <w:t>TMAX,f,c</w:t>
            </w:r>
            <w:r>
              <w:t xml:space="preserve"> is bounded by</w:t>
            </w:r>
          </w:p>
          <w:p>
            <w:pPr>
              <w:overflowPunct/>
              <w:autoSpaceDE/>
              <w:autoSpaceDN/>
              <w:adjustRightInd/>
              <w:spacing w:before="72" w:beforeLines="30" w:after="72" w:afterLines="30" w:line="288" w:lineRule="auto"/>
              <w:jc w:val="center"/>
              <w:textAlignment w:val="auto"/>
            </w:pPr>
            <w:r>
              <w:tab/>
            </w:r>
            <w:r>
              <w:t>P</w:t>
            </w:r>
            <w:r>
              <w:rPr>
                <w:vertAlign w:val="subscript"/>
              </w:rPr>
              <w:t>TMAX,f,c</w:t>
            </w:r>
            <w:r>
              <w:t xml:space="preserve"> ≤ TRP</w:t>
            </w:r>
            <w:r>
              <w:rPr>
                <w:vertAlign w:val="subscript"/>
              </w:rPr>
              <w:t>max</w:t>
            </w:r>
          </w:p>
          <w:p>
            <w:pPr>
              <w:overflowPunct w:val="0"/>
              <w:autoSpaceDE w:val="0"/>
              <w:autoSpaceDN w:val="0"/>
              <w:adjustRightInd w:val="0"/>
              <w:spacing w:before="72" w:beforeLines="30" w:after="72" w:afterLines="30" w:line="288" w:lineRule="auto"/>
              <w:jc w:val="center"/>
              <w:textAlignment w:val="baseline"/>
              <w:rPr>
                <w:lang w:val="en-US" w:eastAsia="zh-CN"/>
              </w:rPr>
            </w:pPr>
            <w:r>
              <w:rPr>
                <w:rFonts w:hint="eastAsia" w:eastAsia="宋体"/>
                <w:color w:val="FF0000"/>
                <w:lang w:val="en-US" w:eastAsia="zh-CN"/>
              </w:rPr>
              <w:t>&lt;Unrelated parts are omitted&gt;</w:t>
            </w:r>
          </w:p>
        </w:tc>
      </w:tr>
    </w:tbl>
    <w:p>
      <w:pPr>
        <w:snapToGrid w:val="0"/>
        <w:spacing w:before="60" w:after="60" w:line="288" w:lineRule="auto"/>
        <w:jc w:val="both"/>
        <w:rPr>
          <w:rFonts w:eastAsia="宋体"/>
          <w:iCs/>
          <w:lang w:val="en-US" w:eastAsia="zh-CN"/>
        </w:rPr>
      </w:pPr>
      <w:r>
        <w:rPr>
          <w:rFonts w:hint="eastAsia" w:eastAsia="宋体"/>
          <w:iCs/>
          <w:lang w:val="en-US" w:eastAsia="zh-CN"/>
        </w:rPr>
        <w:t>Based on the above analysis, we can assume that the sum of per-panel power limitation for STxMP can be greater than the existing power limitation for a given power class while the sum of actual transmission power for STxMP cannot be greater than the existing power limitation for a given power class.</w:t>
      </w:r>
      <w:bookmarkStart w:id="6" w:name="_GoBack"/>
      <w:bookmarkEnd w:id="6"/>
    </w:p>
    <w:p>
      <w:pPr>
        <w:snapToGrid w:val="0"/>
        <w:spacing w:before="60" w:after="60" w:line="288" w:lineRule="auto"/>
        <w:jc w:val="both"/>
        <w:rPr>
          <w:rFonts w:eastAsia="宋体"/>
          <w:iCs/>
          <w:lang w:val="en-US" w:eastAsia="zh-CN"/>
        </w:rPr>
      </w:pPr>
      <w:r>
        <w:rPr>
          <w:rFonts w:hint="eastAsia"/>
          <w:lang w:val="en-US" w:eastAsia="zh-CN"/>
        </w:rPr>
        <w:t>For scenarios involving two uplink carriers, carrier aggregation and LTM, transmission power reduction operation is specified in clause 7.5 in TS 38.213 if the total UE transmit power for uplink transmissions on serving cells or on a candidate cell in a respective transmission occasion would exceed the linear value of maximum output power in the transmission occasion.</w:t>
      </w:r>
    </w:p>
    <w:p>
      <w:pPr>
        <w:snapToGrid w:val="0"/>
        <w:spacing w:before="60" w:after="60" w:line="288" w:lineRule="auto"/>
        <w:jc w:val="both"/>
        <w:rPr>
          <w:rFonts w:eastAsia="宋体"/>
          <w:iCs/>
          <w:lang w:val="en-US" w:eastAsia="zh-CN"/>
        </w:rPr>
      </w:pPr>
      <w:r>
        <w:rPr>
          <w:rFonts w:hint="eastAsia" w:eastAsia="宋体"/>
          <w:iCs/>
          <w:lang w:val="en-US" w:eastAsia="zh-CN"/>
        </w:rPr>
        <w:t xml:space="preserve">Therefore, for STxMP in a single carrier of a single serving cell, the total UE transmit power for simultaneously transmitted PUSCH or PUCCH on the serving cell in a frequency range in a respective transmission occasion </w:t>
      </w:r>
      <w:r>
        <w:rPr>
          <w:rFonts w:hint="eastAsia" w:eastAsia="宋体"/>
          <w:i/>
          <w:lang w:val="en-US" w:eastAsia="zh-CN"/>
        </w:rPr>
        <w:t>i</w:t>
      </w:r>
      <w:r>
        <w:rPr>
          <w:rFonts w:hint="eastAsia" w:eastAsia="宋体"/>
          <w:iCs/>
          <w:lang w:val="en-US" w:eastAsia="zh-CN"/>
        </w:rPr>
        <w:t xml:space="preserve"> can exceed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iCs/>
          <w:lang w:val="en-US" w:eastAsia="zh-CN"/>
        </w:rPr>
        <w:t xml:space="preserve"> in transmission occasion </w:t>
      </w:r>
      <w:r>
        <w:rPr>
          <w:rFonts w:hint="eastAsia" w:eastAsia="宋体"/>
          <w:i/>
          <w:lang w:val="en-US" w:eastAsia="zh-CN"/>
        </w:rPr>
        <w:t>i</w:t>
      </w:r>
      <w:r>
        <w:rPr>
          <w:rFonts w:hint="eastAsia" w:eastAsia="宋体"/>
          <w:iCs/>
          <w:lang w:val="en-US" w:eastAsia="zh-CN"/>
        </w:rPr>
        <w:t xml:space="preserve">. Then, transmission power reduction should also be operated to allocate power to the PUSCH/PUCCH transmissions so that the total UE transmit power for transmissions on the serving cell is not greater than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iCs/>
          <w:lang w:val="en-US" w:eastAsia="zh-CN"/>
        </w:rPr>
        <w:t xml:space="preserve"> in transmission occasion </w:t>
      </w:r>
      <w:r>
        <w:rPr>
          <w:rFonts w:hint="eastAsia" w:eastAsia="宋体"/>
          <w:i/>
          <w:lang w:val="en-US" w:eastAsia="zh-CN"/>
        </w:rPr>
        <w:t>i.</w:t>
      </w:r>
      <w:r>
        <w:rPr>
          <w:rFonts w:hint="eastAsia" w:eastAsia="宋体"/>
          <w:iCs/>
          <w:lang w:val="en-US" w:eastAsia="zh-CN"/>
        </w:rPr>
        <w:t xml:space="preserve"> </w:t>
      </w:r>
    </w:p>
    <w:p>
      <w:pPr>
        <w:snapToGrid w:val="0"/>
        <w:spacing w:before="60" w:after="60" w:line="288" w:lineRule="auto"/>
        <w:jc w:val="both"/>
        <w:rPr>
          <w:iCs/>
        </w:rPr>
      </w:pPr>
      <w:r>
        <w:rPr>
          <w:rFonts w:hint="eastAsia" w:eastAsia="宋体"/>
          <w:iCs/>
          <w:lang w:val="en-US" w:eastAsia="zh-CN"/>
        </w:rPr>
        <w:t>In light of the above</w:t>
      </w:r>
      <w:r>
        <w:rPr>
          <w:rFonts w:hint="eastAsia" w:eastAsia="宋体"/>
          <w:iCs/>
        </w:rPr>
        <w:t xml:space="preserve">, </w:t>
      </w:r>
      <w:r>
        <w:rPr>
          <w:rFonts w:hint="eastAsia"/>
          <w:iCs/>
        </w:rPr>
        <w:t xml:space="preserve">we have the following proposal and the corresponding </w:t>
      </w:r>
      <w:r>
        <w:rPr>
          <w:rFonts w:hint="eastAsia"/>
          <w:iCs/>
          <w:lang w:val="en-US" w:eastAsia="zh-CN"/>
        </w:rPr>
        <w:t xml:space="preserve">CR </w:t>
      </w:r>
      <w:r>
        <w:rPr>
          <w:rFonts w:hint="eastAsia"/>
          <w:iCs/>
        </w:rPr>
        <w:t>can be found in [</w:t>
      </w:r>
      <w:r>
        <w:rPr>
          <w:rFonts w:hint="eastAsia"/>
          <w:iCs/>
          <w:lang w:val="en-US" w:eastAsia="zh-CN"/>
        </w:rPr>
        <w:t>3</w:t>
      </w:r>
      <w:r>
        <w:rPr>
          <w:rFonts w:hint="eastAsia"/>
          <w:iCs/>
        </w:rPr>
        <w:t>].</w:t>
      </w:r>
    </w:p>
    <w:p>
      <w:pPr>
        <w:pStyle w:val="430"/>
        <w:widowControl w:val="0"/>
        <w:spacing w:before="72" w:beforeLines="30" w:after="72" w:afterLines="30" w:line="288" w:lineRule="auto"/>
        <w:ind w:firstLine="0" w:firstLineChars="0"/>
        <w:jc w:val="both"/>
        <w:rPr>
          <w:rFonts w:eastAsia="宋体"/>
          <w:bCs/>
          <w:i/>
          <w:szCs w:val="21"/>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hint="eastAsia" w:eastAsia="宋体"/>
          <w:bCs/>
          <w:i/>
          <w:szCs w:val="21"/>
        </w:rPr>
        <w:t>Support transmission power reduction for multiple panel simultaneous uplink transmission of a single carrier of a single serving cell.</w:t>
      </w:r>
    </w:p>
    <w:p>
      <w:pPr>
        <w:numPr>
          <w:ilvl w:val="0"/>
          <w:numId w:val="23"/>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434"/>
        <w:snapToGrid w:val="0"/>
        <w:spacing w:before="72" w:beforeLines="30" w:after="72" w:afterLines="30" w:line="288" w:lineRule="auto"/>
        <w:jc w:val="both"/>
        <w:rPr>
          <w:rFonts w:eastAsia="t"/>
          <w:sz w:val="20"/>
          <w:lang w:val="en-GB"/>
        </w:rPr>
      </w:pPr>
      <w:r>
        <w:rPr>
          <w:rFonts w:hint="eastAsia" w:eastAsia="t"/>
          <w:sz w:val="20"/>
          <w:lang w:val="en-GB"/>
        </w:rPr>
        <w:t>In this contribution, we</w:t>
      </w:r>
      <w:r>
        <w:rPr>
          <w:rFonts w:hint="eastAsia"/>
          <w:sz w:val="20"/>
        </w:rPr>
        <w:t xml:space="preserve"> </w:t>
      </w:r>
      <w:r>
        <w:rPr>
          <w:rFonts w:hint="eastAsia" w:eastAsia="t"/>
          <w:sz w:val="20"/>
          <w:lang w:val="en-GB"/>
        </w:rPr>
        <w:t>elaborate our views on the transmission power reduction for STxMP</w:t>
      </w:r>
      <w:r>
        <w:rPr>
          <w:rFonts w:hint="eastAsia"/>
          <w:sz w:val="20"/>
        </w:rPr>
        <w:t xml:space="preserve"> and have the following proposal</w:t>
      </w:r>
      <w:r>
        <w:rPr>
          <w:rFonts w:hint="eastAsia" w:eastAsia="t"/>
          <w:sz w:val="20"/>
          <w:lang w:val="en-GB"/>
        </w:rPr>
        <w:t>.</w:t>
      </w:r>
    </w:p>
    <w:p>
      <w:pPr>
        <w:pStyle w:val="430"/>
        <w:widowControl w:val="0"/>
        <w:spacing w:before="72" w:beforeLines="30" w:after="72" w:afterLines="30" w:line="288" w:lineRule="auto"/>
        <w:ind w:firstLine="0" w:firstLineChars="0"/>
        <w:jc w:val="both"/>
        <w:rPr>
          <w:rFonts w:eastAsia="宋体"/>
          <w:bCs/>
          <w:i/>
          <w:szCs w:val="21"/>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hint="eastAsia" w:eastAsia="宋体"/>
          <w:bCs/>
          <w:i/>
          <w:szCs w:val="21"/>
        </w:rPr>
        <w:t>Support transmission power reduction for multiple panel simultaneous uplink transmission of a single carrier of a single serving cell.</w:t>
      </w:r>
    </w:p>
    <w:p>
      <w:pPr>
        <w:numPr>
          <w:ilvl w:val="0"/>
          <w:numId w:val="23"/>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434"/>
        <w:numPr>
          <w:ilvl w:val="0"/>
          <w:numId w:val="25"/>
        </w:numPr>
        <w:snapToGrid w:val="0"/>
        <w:spacing w:before="72" w:beforeLines="30" w:after="72" w:afterLines="30" w:line="288" w:lineRule="auto"/>
        <w:jc w:val="both"/>
        <w:rPr>
          <w:bCs/>
          <w:sz w:val="20"/>
          <w:szCs w:val="20"/>
        </w:rPr>
      </w:pPr>
      <w:r>
        <w:rPr>
          <w:rFonts w:hint="eastAsia"/>
          <w:bCs/>
          <w:sz w:val="20"/>
          <w:szCs w:val="20"/>
        </w:rPr>
        <w:t>Chair notes RAN1#112 eom, Feb 27</w:t>
      </w:r>
      <w:r>
        <w:rPr>
          <w:rFonts w:hint="eastAsia"/>
          <w:bCs/>
          <w:sz w:val="20"/>
          <w:szCs w:val="20"/>
          <w:vertAlign w:val="superscript"/>
        </w:rPr>
        <w:t>th</w:t>
      </w:r>
      <w:r>
        <w:rPr>
          <w:rFonts w:hint="eastAsia"/>
          <w:bCs/>
          <w:sz w:val="20"/>
          <w:szCs w:val="20"/>
        </w:rPr>
        <w:t xml:space="preserve"> - Mar 3</w:t>
      </w:r>
      <w:r>
        <w:rPr>
          <w:rFonts w:hint="eastAsia"/>
          <w:bCs/>
          <w:sz w:val="20"/>
          <w:szCs w:val="20"/>
          <w:vertAlign w:val="superscript"/>
        </w:rPr>
        <w:t>rd</w:t>
      </w:r>
      <w:r>
        <w:rPr>
          <w:rFonts w:hint="eastAsia"/>
          <w:bCs/>
          <w:sz w:val="20"/>
          <w:szCs w:val="20"/>
        </w:rPr>
        <w:t>, 2023, 3GPP RAN1</w:t>
      </w:r>
    </w:p>
    <w:p>
      <w:pPr>
        <w:pStyle w:val="434"/>
        <w:numPr>
          <w:ilvl w:val="0"/>
          <w:numId w:val="25"/>
        </w:numPr>
        <w:snapToGrid w:val="0"/>
        <w:spacing w:before="72" w:beforeLines="30" w:after="72" w:afterLines="30" w:line="288" w:lineRule="auto"/>
        <w:jc w:val="both"/>
        <w:rPr>
          <w:bCs/>
          <w:sz w:val="20"/>
          <w:szCs w:val="20"/>
        </w:rPr>
      </w:pPr>
      <w:r>
        <w:rPr>
          <w:rFonts w:hint="eastAsia"/>
          <w:bCs/>
          <w:sz w:val="20"/>
          <w:szCs w:val="20"/>
        </w:rPr>
        <w:t>R4-2306657, Reply LS on configured Tx power for STxMP in FR2, Apr, 2023, RAN4</w:t>
      </w:r>
    </w:p>
    <w:p>
      <w:pPr>
        <w:pStyle w:val="434"/>
        <w:numPr>
          <w:ilvl w:val="0"/>
          <w:numId w:val="25"/>
        </w:numPr>
        <w:snapToGrid w:val="0"/>
        <w:spacing w:before="72" w:beforeLines="30" w:after="72" w:afterLines="30" w:line="288" w:lineRule="auto"/>
        <w:jc w:val="both"/>
        <w:rPr>
          <w:bCs/>
          <w:sz w:val="20"/>
          <w:szCs w:val="20"/>
        </w:rPr>
      </w:pPr>
      <w:r>
        <w:rPr>
          <w:rFonts w:hint="eastAsia"/>
          <w:bCs/>
          <w:sz w:val="20"/>
          <w:szCs w:val="20"/>
        </w:rPr>
        <w:t>R1-2500536, Draft CR on transmission power reduction for STxMP in TS 38.213, ZTE</w:t>
      </w:r>
    </w:p>
    <w:p>
      <w:pPr>
        <w:jc w:val="both"/>
        <w:rPr>
          <w:lang w:val="en-US" w:eastAsia="zh-CN"/>
        </w:rPr>
      </w:pP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Sylfae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E93823A"/>
    <w:multiLevelType w:val="singleLevel"/>
    <w:tmpl w:val="5E93823A"/>
    <w:lvl w:ilvl="0" w:tentative="0">
      <w:start w:val="1"/>
      <w:numFmt w:val="decimal"/>
      <w:suff w:val="space"/>
      <w:lvlText w:val="[%1]"/>
      <w:lvlJc w:val="left"/>
    </w:lvl>
  </w:abstractNum>
  <w:abstractNum w:abstractNumId="19">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6F809AC"/>
    <w:multiLevelType w:val="multilevel"/>
    <w:tmpl w:val="66F809AC"/>
    <w:lvl w:ilvl="0" w:tentative="0">
      <w:start w:val="0"/>
      <w:numFmt w:val="bullet"/>
      <w:lvlText w:val=""/>
      <w:lvlJc w:val="left"/>
      <w:pPr>
        <w:tabs>
          <w:tab w:val="left" w:pos="0"/>
        </w:tabs>
        <w:ind w:left="760" w:hanging="360"/>
      </w:pPr>
      <w:rPr>
        <w:rFonts w:hint="default" w:ascii="Wingdings" w:hAnsi="Wingdings" w:eastAsia="Batang" w:cs="Wingdings"/>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Symbol" w:hAnsi="Symbol" w:cs="Symbol"/>
      </w:rPr>
    </w:lvl>
    <w:lvl w:ilvl="4" w:tentative="0">
      <w:start w:val="1"/>
      <w:numFmt w:val="bullet"/>
      <w:lvlText w:val="o"/>
      <w:lvlJc w:val="left"/>
      <w:pPr>
        <w:tabs>
          <w:tab w:val="left" w:pos="0"/>
        </w:tabs>
        <w:ind w:left="2400" w:hanging="400"/>
      </w:pPr>
      <w:rPr>
        <w:rFonts w:hint="default" w:ascii="Courier New" w:hAnsi="Courier New" w:cs="Courier New"/>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4"/>
  </w:num>
  <w:num w:numId="6">
    <w:abstractNumId w:val="15"/>
  </w:num>
  <w:num w:numId="7">
    <w:abstractNumId w:val="22"/>
  </w:num>
  <w:num w:numId="8">
    <w:abstractNumId w:val="10"/>
  </w:num>
  <w:num w:numId="9">
    <w:abstractNumId w:val="19"/>
  </w:num>
  <w:num w:numId="10">
    <w:abstractNumId w:val="13"/>
  </w:num>
  <w:num w:numId="11">
    <w:abstractNumId w:val="6"/>
  </w:num>
  <w:num w:numId="12">
    <w:abstractNumId w:val="1"/>
  </w:num>
  <w:num w:numId="13">
    <w:abstractNumId w:val="2"/>
  </w:num>
  <w:num w:numId="14">
    <w:abstractNumId w:val="21"/>
  </w:num>
  <w:num w:numId="15">
    <w:abstractNumId w:val="16"/>
  </w:num>
  <w:num w:numId="16">
    <w:abstractNumId w:val="17"/>
  </w:num>
  <w:num w:numId="17">
    <w:abstractNumId w:val="23"/>
  </w:num>
  <w:num w:numId="18">
    <w:abstractNumId w:val="11"/>
  </w:num>
  <w:num w:numId="19">
    <w:abstractNumId w:val="7"/>
  </w:num>
  <w:num w:numId="20">
    <w:abstractNumId w:val="9"/>
  </w:num>
  <w:num w:numId="21">
    <w:abstractNumId w:val="8"/>
  </w:num>
  <w:num w:numId="22">
    <w:abstractNumId w:val="5"/>
  </w:num>
  <w:num w:numId="23">
    <w:abstractNumId w:val="4"/>
  </w:num>
  <w:num w:numId="24">
    <w:abstractNumId w:val="2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49E2"/>
    <w:rsid w:val="00044635"/>
    <w:rsid w:val="00061B32"/>
    <w:rsid w:val="00073083"/>
    <w:rsid w:val="0007666C"/>
    <w:rsid w:val="00081A9F"/>
    <w:rsid w:val="00084856"/>
    <w:rsid w:val="000863A0"/>
    <w:rsid w:val="0009681F"/>
    <w:rsid w:val="000A1C19"/>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14CD"/>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528"/>
    <w:rsid w:val="006F3C53"/>
    <w:rsid w:val="006F457A"/>
    <w:rsid w:val="00700C12"/>
    <w:rsid w:val="007146D8"/>
    <w:rsid w:val="00714D03"/>
    <w:rsid w:val="00716F3F"/>
    <w:rsid w:val="00717311"/>
    <w:rsid w:val="00724D47"/>
    <w:rsid w:val="00734332"/>
    <w:rsid w:val="00736968"/>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6F6"/>
    <w:rsid w:val="009777D9"/>
    <w:rsid w:val="00990BDC"/>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01F"/>
    <w:rsid w:val="00CD1907"/>
    <w:rsid w:val="00CD3B7A"/>
    <w:rsid w:val="00CF5421"/>
    <w:rsid w:val="00D03E08"/>
    <w:rsid w:val="00D03F9A"/>
    <w:rsid w:val="00D06D51"/>
    <w:rsid w:val="00D24991"/>
    <w:rsid w:val="00D36330"/>
    <w:rsid w:val="00D44A1C"/>
    <w:rsid w:val="00D50255"/>
    <w:rsid w:val="00D53E9A"/>
    <w:rsid w:val="00D5509B"/>
    <w:rsid w:val="00D6005F"/>
    <w:rsid w:val="00D60697"/>
    <w:rsid w:val="00D60DFC"/>
    <w:rsid w:val="00D66520"/>
    <w:rsid w:val="00D8348B"/>
    <w:rsid w:val="00DA4347"/>
    <w:rsid w:val="00DB02B7"/>
    <w:rsid w:val="00DB2ED3"/>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5EBB"/>
    <w:rsid w:val="010A7B74"/>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00DA0"/>
    <w:rsid w:val="03B26DBC"/>
    <w:rsid w:val="03D76967"/>
    <w:rsid w:val="03EE0A1A"/>
    <w:rsid w:val="040725AE"/>
    <w:rsid w:val="042C2710"/>
    <w:rsid w:val="044031F1"/>
    <w:rsid w:val="0440779E"/>
    <w:rsid w:val="0473106E"/>
    <w:rsid w:val="04742A30"/>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623FAE"/>
    <w:rsid w:val="087959B2"/>
    <w:rsid w:val="087C38A4"/>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DD2619"/>
    <w:rsid w:val="0BEC12A5"/>
    <w:rsid w:val="0C07322A"/>
    <w:rsid w:val="0C2826EF"/>
    <w:rsid w:val="0C456CB8"/>
    <w:rsid w:val="0C6D211F"/>
    <w:rsid w:val="0C832CF7"/>
    <w:rsid w:val="0CE560AB"/>
    <w:rsid w:val="0D4E0C1B"/>
    <w:rsid w:val="0D531FA4"/>
    <w:rsid w:val="0D56071C"/>
    <w:rsid w:val="0DE24C64"/>
    <w:rsid w:val="0E0F4EE1"/>
    <w:rsid w:val="0E236E0C"/>
    <w:rsid w:val="0E28782F"/>
    <w:rsid w:val="0EE409A1"/>
    <w:rsid w:val="0F1D5AC5"/>
    <w:rsid w:val="0F506E2F"/>
    <w:rsid w:val="0F545C25"/>
    <w:rsid w:val="0F5C0346"/>
    <w:rsid w:val="0F901124"/>
    <w:rsid w:val="0F9139BD"/>
    <w:rsid w:val="10154E55"/>
    <w:rsid w:val="10291390"/>
    <w:rsid w:val="10A61FE0"/>
    <w:rsid w:val="10F95A47"/>
    <w:rsid w:val="1123111F"/>
    <w:rsid w:val="112C4FB0"/>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8E5529C"/>
    <w:rsid w:val="19013FB6"/>
    <w:rsid w:val="19501B94"/>
    <w:rsid w:val="19946D2B"/>
    <w:rsid w:val="19B47114"/>
    <w:rsid w:val="19BC1E05"/>
    <w:rsid w:val="1A281C0B"/>
    <w:rsid w:val="1A5D4962"/>
    <w:rsid w:val="1A7414DD"/>
    <w:rsid w:val="1A764280"/>
    <w:rsid w:val="1AAA56CE"/>
    <w:rsid w:val="1AB936FA"/>
    <w:rsid w:val="1AE12672"/>
    <w:rsid w:val="1AF21677"/>
    <w:rsid w:val="1B0857CA"/>
    <w:rsid w:val="1B0D0E9F"/>
    <w:rsid w:val="1B865037"/>
    <w:rsid w:val="1C65474D"/>
    <w:rsid w:val="1C7F40B8"/>
    <w:rsid w:val="1C885D03"/>
    <w:rsid w:val="1D4E273D"/>
    <w:rsid w:val="1D6B1079"/>
    <w:rsid w:val="1D7B5B5A"/>
    <w:rsid w:val="1DC261D2"/>
    <w:rsid w:val="1DC821DD"/>
    <w:rsid w:val="1DFF651B"/>
    <w:rsid w:val="1E324806"/>
    <w:rsid w:val="1EAC2624"/>
    <w:rsid w:val="1F4134B5"/>
    <w:rsid w:val="1F7E1517"/>
    <w:rsid w:val="1F811036"/>
    <w:rsid w:val="1FE9458D"/>
    <w:rsid w:val="20203754"/>
    <w:rsid w:val="20497803"/>
    <w:rsid w:val="20985EAE"/>
    <w:rsid w:val="20BD2A5B"/>
    <w:rsid w:val="20CC6ABF"/>
    <w:rsid w:val="21167C28"/>
    <w:rsid w:val="21A766DD"/>
    <w:rsid w:val="21FE05B3"/>
    <w:rsid w:val="229616BB"/>
    <w:rsid w:val="229A1443"/>
    <w:rsid w:val="22A75292"/>
    <w:rsid w:val="22D6343E"/>
    <w:rsid w:val="231F1E94"/>
    <w:rsid w:val="23212321"/>
    <w:rsid w:val="23BD26C9"/>
    <w:rsid w:val="23E74B4B"/>
    <w:rsid w:val="243472F2"/>
    <w:rsid w:val="246A156E"/>
    <w:rsid w:val="247456DF"/>
    <w:rsid w:val="24767977"/>
    <w:rsid w:val="2479641A"/>
    <w:rsid w:val="24A143E9"/>
    <w:rsid w:val="24A52B50"/>
    <w:rsid w:val="24B40E44"/>
    <w:rsid w:val="24BE266E"/>
    <w:rsid w:val="24CB425F"/>
    <w:rsid w:val="258103C7"/>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5A770E"/>
    <w:rsid w:val="29665457"/>
    <w:rsid w:val="29754198"/>
    <w:rsid w:val="29C40FEE"/>
    <w:rsid w:val="29DA4202"/>
    <w:rsid w:val="29FE7D4D"/>
    <w:rsid w:val="2A0A5C85"/>
    <w:rsid w:val="2A1A4183"/>
    <w:rsid w:val="2A1B7C99"/>
    <w:rsid w:val="2A322F09"/>
    <w:rsid w:val="2A9A1E38"/>
    <w:rsid w:val="2AA34F44"/>
    <w:rsid w:val="2AB16241"/>
    <w:rsid w:val="2AB36596"/>
    <w:rsid w:val="2B0E7E26"/>
    <w:rsid w:val="2B1C5849"/>
    <w:rsid w:val="2B1C7160"/>
    <w:rsid w:val="2B277F42"/>
    <w:rsid w:val="2BB72365"/>
    <w:rsid w:val="2BD375AC"/>
    <w:rsid w:val="2BE009BD"/>
    <w:rsid w:val="2C474DF2"/>
    <w:rsid w:val="2C800534"/>
    <w:rsid w:val="2CA30297"/>
    <w:rsid w:val="2CB65262"/>
    <w:rsid w:val="2CE02DEB"/>
    <w:rsid w:val="2D5F5606"/>
    <w:rsid w:val="2D613B47"/>
    <w:rsid w:val="2D6E7D47"/>
    <w:rsid w:val="2D817FF7"/>
    <w:rsid w:val="2E4574D6"/>
    <w:rsid w:val="2E664D9E"/>
    <w:rsid w:val="2E6A1E1C"/>
    <w:rsid w:val="2E9B0226"/>
    <w:rsid w:val="2EA150AF"/>
    <w:rsid w:val="2EC83214"/>
    <w:rsid w:val="2F1F2D01"/>
    <w:rsid w:val="2F357E81"/>
    <w:rsid w:val="2F424E1D"/>
    <w:rsid w:val="2F496299"/>
    <w:rsid w:val="2F784CCE"/>
    <w:rsid w:val="2F8C06D8"/>
    <w:rsid w:val="2FAF37AE"/>
    <w:rsid w:val="2FCD5F33"/>
    <w:rsid w:val="2FF27007"/>
    <w:rsid w:val="2FF34BE0"/>
    <w:rsid w:val="2FF93217"/>
    <w:rsid w:val="2FFF3A7C"/>
    <w:rsid w:val="307661E3"/>
    <w:rsid w:val="307A1F87"/>
    <w:rsid w:val="30847485"/>
    <w:rsid w:val="309D4E0A"/>
    <w:rsid w:val="30D15421"/>
    <w:rsid w:val="30D2640F"/>
    <w:rsid w:val="310E71A5"/>
    <w:rsid w:val="312869F2"/>
    <w:rsid w:val="31404D32"/>
    <w:rsid w:val="3183078A"/>
    <w:rsid w:val="32490555"/>
    <w:rsid w:val="32680E9C"/>
    <w:rsid w:val="327D6882"/>
    <w:rsid w:val="327E4466"/>
    <w:rsid w:val="328C2298"/>
    <w:rsid w:val="33452949"/>
    <w:rsid w:val="3359115D"/>
    <w:rsid w:val="335941FB"/>
    <w:rsid w:val="33866868"/>
    <w:rsid w:val="33950FE4"/>
    <w:rsid w:val="33A01A71"/>
    <w:rsid w:val="33B01F2D"/>
    <w:rsid w:val="33DF4BEA"/>
    <w:rsid w:val="34380D25"/>
    <w:rsid w:val="34771294"/>
    <w:rsid w:val="34911156"/>
    <w:rsid w:val="34AE7502"/>
    <w:rsid w:val="34D87AD3"/>
    <w:rsid w:val="34EA5A32"/>
    <w:rsid w:val="35172D8F"/>
    <w:rsid w:val="35215302"/>
    <w:rsid w:val="35C1207D"/>
    <w:rsid w:val="361351FF"/>
    <w:rsid w:val="367316F0"/>
    <w:rsid w:val="367C2AFF"/>
    <w:rsid w:val="368D4B45"/>
    <w:rsid w:val="36AD5B8E"/>
    <w:rsid w:val="36B51A5E"/>
    <w:rsid w:val="36B57A77"/>
    <w:rsid w:val="37003C4A"/>
    <w:rsid w:val="37115194"/>
    <w:rsid w:val="37202D75"/>
    <w:rsid w:val="37571AB9"/>
    <w:rsid w:val="376652F9"/>
    <w:rsid w:val="37690B0A"/>
    <w:rsid w:val="37B52474"/>
    <w:rsid w:val="37CA0FE5"/>
    <w:rsid w:val="37D91712"/>
    <w:rsid w:val="37F3500C"/>
    <w:rsid w:val="38035A30"/>
    <w:rsid w:val="3831783F"/>
    <w:rsid w:val="384E2F55"/>
    <w:rsid w:val="3860162D"/>
    <w:rsid w:val="38BD36D2"/>
    <w:rsid w:val="390B0A55"/>
    <w:rsid w:val="39BE6C54"/>
    <w:rsid w:val="39C157B8"/>
    <w:rsid w:val="39DF3FD7"/>
    <w:rsid w:val="3A2F1883"/>
    <w:rsid w:val="3A602732"/>
    <w:rsid w:val="3A6B4615"/>
    <w:rsid w:val="3A9A1A85"/>
    <w:rsid w:val="3AAA0765"/>
    <w:rsid w:val="3AD47F56"/>
    <w:rsid w:val="3AFA7C42"/>
    <w:rsid w:val="3AFE5F6A"/>
    <w:rsid w:val="3B4D3F95"/>
    <w:rsid w:val="3B9062F7"/>
    <w:rsid w:val="3BA25E38"/>
    <w:rsid w:val="3BA7578A"/>
    <w:rsid w:val="3BDB3E14"/>
    <w:rsid w:val="3BEB358D"/>
    <w:rsid w:val="3BFD3777"/>
    <w:rsid w:val="3C1707B6"/>
    <w:rsid w:val="3C4C4616"/>
    <w:rsid w:val="3CE45EC3"/>
    <w:rsid w:val="3D27538A"/>
    <w:rsid w:val="3D4244B0"/>
    <w:rsid w:val="3D774A90"/>
    <w:rsid w:val="3D875A84"/>
    <w:rsid w:val="3D9D3C90"/>
    <w:rsid w:val="3DC82508"/>
    <w:rsid w:val="3DF96AAD"/>
    <w:rsid w:val="3E037074"/>
    <w:rsid w:val="3E2E2151"/>
    <w:rsid w:val="3E755B97"/>
    <w:rsid w:val="3E9324B6"/>
    <w:rsid w:val="3EB87EA7"/>
    <w:rsid w:val="3ED12DAF"/>
    <w:rsid w:val="3F915C0E"/>
    <w:rsid w:val="3F931AFE"/>
    <w:rsid w:val="3FDE72D1"/>
    <w:rsid w:val="400649B2"/>
    <w:rsid w:val="40210C48"/>
    <w:rsid w:val="408F056D"/>
    <w:rsid w:val="40A14DD6"/>
    <w:rsid w:val="40E95FAC"/>
    <w:rsid w:val="40F61440"/>
    <w:rsid w:val="410F3144"/>
    <w:rsid w:val="41353001"/>
    <w:rsid w:val="413D7498"/>
    <w:rsid w:val="414F62D2"/>
    <w:rsid w:val="41A75102"/>
    <w:rsid w:val="41CB4218"/>
    <w:rsid w:val="42047F16"/>
    <w:rsid w:val="42136A76"/>
    <w:rsid w:val="421C0DAA"/>
    <w:rsid w:val="42554C43"/>
    <w:rsid w:val="42693961"/>
    <w:rsid w:val="42BD3597"/>
    <w:rsid w:val="42D27B92"/>
    <w:rsid w:val="42DF01D0"/>
    <w:rsid w:val="42FB26DC"/>
    <w:rsid w:val="43200B51"/>
    <w:rsid w:val="43507E0A"/>
    <w:rsid w:val="437B5A69"/>
    <w:rsid w:val="437D0F09"/>
    <w:rsid w:val="43802367"/>
    <w:rsid w:val="43984DE9"/>
    <w:rsid w:val="43B43BAE"/>
    <w:rsid w:val="44A25013"/>
    <w:rsid w:val="44DC50C3"/>
    <w:rsid w:val="44F214CE"/>
    <w:rsid w:val="44FD03C2"/>
    <w:rsid w:val="451416BF"/>
    <w:rsid w:val="45404FCD"/>
    <w:rsid w:val="45577DCD"/>
    <w:rsid w:val="45B73B9A"/>
    <w:rsid w:val="45C7381C"/>
    <w:rsid w:val="45E35BB7"/>
    <w:rsid w:val="45E92E08"/>
    <w:rsid w:val="45F303D0"/>
    <w:rsid w:val="467B0A23"/>
    <w:rsid w:val="46C13EB7"/>
    <w:rsid w:val="46CA0433"/>
    <w:rsid w:val="46D7531D"/>
    <w:rsid w:val="46F4402B"/>
    <w:rsid w:val="47064A15"/>
    <w:rsid w:val="470F642C"/>
    <w:rsid w:val="474B2909"/>
    <w:rsid w:val="47515F75"/>
    <w:rsid w:val="47667AD7"/>
    <w:rsid w:val="476779AB"/>
    <w:rsid w:val="47AD3061"/>
    <w:rsid w:val="47C06F1E"/>
    <w:rsid w:val="48082ACB"/>
    <w:rsid w:val="481B3EB8"/>
    <w:rsid w:val="481D2DBB"/>
    <w:rsid w:val="482C059B"/>
    <w:rsid w:val="485C3F8A"/>
    <w:rsid w:val="488A2210"/>
    <w:rsid w:val="489B5FC1"/>
    <w:rsid w:val="48DD210F"/>
    <w:rsid w:val="4917513A"/>
    <w:rsid w:val="49462240"/>
    <w:rsid w:val="49805AD0"/>
    <w:rsid w:val="49904C7B"/>
    <w:rsid w:val="49C1247B"/>
    <w:rsid w:val="49C90032"/>
    <w:rsid w:val="49DC419E"/>
    <w:rsid w:val="49DE159C"/>
    <w:rsid w:val="49DF1C3F"/>
    <w:rsid w:val="49E8501D"/>
    <w:rsid w:val="4A620814"/>
    <w:rsid w:val="4A647152"/>
    <w:rsid w:val="4AE02AE7"/>
    <w:rsid w:val="4AEA062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27284"/>
    <w:rsid w:val="4D7B09CB"/>
    <w:rsid w:val="4D7D0818"/>
    <w:rsid w:val="4D810A7B"/>
    <w:rsid w:val="4D8B6C7B"/>
    <w:rsid w:val="4D9E2B67"/>
    <w:rsid w:val="4E0B301C"/>
    <w:rsid w:val="4E2374A6"/>
    <w:rsid w:val="4E3344A5"/>
    <w:rsid w:val="4E357944"/>
    <w:rsid w:val="4E8623EA"/>
    <w:rsid w:val="4EB944AD"/>
    <w:rsid w:val="4EF01BE3"/>
    <w:rsid w:val="4F2D30F6"/>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A80AE8"/>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7D0626E"/>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1F3B3A"/>
    <w:rsid w:val="5B386B6E"/>
    <w:rsid w:val="5BB04BDF"/>
    <w:rsid w:val="5C50058E"/>
    <w:rsid w:val="5C6276DC"/>
    <w:rsid w:val="5C7E26CE"/>
    <w:rsid w:val="5C9C3ACF"/>
    <w:rsid w:val="5CCB6425"/>
    <w:rsid w:val="5CCD7FE1"/>
    <w:rsid w:val="5CD30E0B"/>
    <w:rsid w:val="5CDF4447"/>
    <w:rsid w:val="5D140643"/>
    <w:rsid w:val="5D411055"/>
    <w:rsid w:val="5D594817"/>
    <w:rsid w:val="5D6B65BF"/>
    <w:rsid w:val="5DBA7F34"/>
    <w:rsid w:val="5DC25511"/>
    <w:rsid w:val="5DDE6C5C"/>
    <w:rsid w:val="5DDF6E12"/>
    <w:rsid w:val="5DFE5C52"/>
    <w:rsid w:val="5E0F2D6B"/>
    <w:rsid w:val="5E3A10B7"/>
    <w:rsid w:val="5E4974F5"/>
    <w:rsid w:val="5E64513F"/>
    <w:rsid w:val="5E69717F"/>
    <w:rsid w:val="5E752D06"/>
    <w:rsid w:val="5E9F07D2"/>
    <w:rsid w:val="5EBE1280"/>
    <w:rsid w:val="5EF100AE"/>
    <w:rsid w:val="5F1434C6"/>
    <w:rsid w:val="5F2D569A"/>
    <w:rsid w:val="5F3B0CD1"/>
    <w:rsid w:val="5F716FE4"/>
    <w:rsid w:val="5F726781"/>
    <w:rsid w:val="5F8820F1"/>
    <w:rsid w:val="5FA25489"/>
    <w:rsid w:val="5FB84454"/>
    <w:rsid w:val="5FCD111E"/>
    <w:rsid w:val="5FD34CC4"/>
    <w:rsid w:val="5FD42393"/>
    <w:rsid w:val="5FE63133"/>
    <w:rsid w:val="5FF07A42"/>
    <w:rsid w:val="60490B46"/>
    <w:rsid w:val="60885B0C"/>
    <w:rsid w:val="60B643E8"/>
    <w:rsid w:val="60E441B2"/>
    <w:rsid w:val="60EE7766"/>
    <w:rsid w:val="60F3380A"/>
    <w:rsid w:val="613C1161"/>
    <w:rsid w:val="614F5707"/>
    <w:rsid w:val="61920404"/>
    <w:rsid w:val="61991E1B"/>
    <w:rsid w:val="61B77D3F"/>
    <w:rsid w:val="61C21A66"/>
    <w:rsid w:val="61DE79E5"/>
    <w:rsid w:val="62B942A5"/>
    <w:rsid w:val="62E43D52"/>
    <w:rsid w:val="62F64E06"/>
    <w:rsid w:val="63173925"/>
    <w:rsid w:val="631E7E06"/>
    <w:rsid w:val="636A0ACA"/>
    <w:rsid w:val="63C70D1C"/>
    <w:rsid w:val="63F36D50"/>
    <w:rsid w:val="63F63C3F"/>
    <w:rsid w:val="64212F95"/>
    <w:rsid w:val="6437660F"/>
    <w:rsid w:val="644D03C7"/>
    <w:rsid w:val="64831ACF"/>
    <w:rsid w:val="64A93F32"/>
    <w:rsid w:val="64B32226"/>
    <w:rsid w:val="64B95A17"/>
    <w:rsid w:val="64BE19E1"/>
    <w:rsid w:val="64EC7058"/>
    <w:rsid w:val="65195324"/>
    <w:rsid w:val="65232D52"/>
    <w:rsid w:val="652D71D0"/>
    <w:rsid w:val="656A223F"/>
    <w:rsid w:val="65765E17"/>
    <w:rsid w:val="65915FA8"/>
    <w:rsid w:val="65D07218"/>
    <w:rsid w:val="65DB34AB"/>
    <w:rsid w:val="65EB7A8B"/>
    <w:rsid w:val="65F71926"/>
    <w:rsid w:val="664B26DE"/>
    <w:rsid w:val="66677476"/>
    <w:rsid w:val="66D16CE1"/>
    <w:rsid w:val="66E371AA"/>
    <w:rsid w:val="66F47308"/>
    <w:rsid w:val="67CE3963"/>
    <w:rsid w:val="67EE0438"/>
    <w:rsid w:val="68051340"/>
    <w:rsid w:val="6836320A"/>
    <w:rsid w:val="683766B6"/>
    <w:rsid w:val="68420E31"/>
    <w:rsid w:val="68787238"/>
    <w:rsid w:val="689232B8"/>
    <w:rsid w:val="68A76072"/>
    <w:rsid w:val="68B705C6"/>
    <w:rsid w:val="691D2203"/>
    <w:rsid w:val="694C54FB"/>
    <w:rsid w:val="69782E2D"/>
    <w:rsid w:val="697D27A4"/>
    <w:rsid w:val="69962DC6"/>
    <w:rsid w:val="69A4484A"/>
    <w:rsid w:val="69D462F7"/>
    <w:rsid w:val="6A7435AA"/>
    <w:rsid w:val="6A8176D3"/>
    <w:rsid w:val="6B53261D"/>
    <w:rsid w:val="6BC21E8F"/>
    <w:rsid w:val="6BCD4185"/>
    <w:rsid w:val="6C573C4E"/>
    <w:rsid w:val="6C611F6E"/>
    <w:rsid w:val="6C8B27BD"/>
    <w:rsid w:val="6C9D0BFA"/>
    <w:rsid w:val="6CA9650F"/>
    <w:rsid w:val="6CF53A08"/>
    <w:rsid w:val="6CFE5F18"/>
    <w:rsid w:val="6D1C332F"/>
    <w:rsid w:val="6D265DF8"/>
    <w:rsid w:val="6D4A594E"/>
    <w:rsid w:val="6D627223"/>
    <w:rsid w:val="6D891E00"/>
    <w:rsid w:val="6DB406D9"/>
    <w:rsid w:val="6DB8537A"/>
    <w:rsid w:val="6DCF5A1C"/>
    <w:rsid w:val="6E3A5C09"/>
    <w:rsid w:val="6E432A36"/>
    <w:rsid w:val="6E8D6811"/>
    <w:rsid w:val="6EE45074"/>
    <w:rsid w:val="6EE874F1"/>
    <w:rsid w:val="6EF515B6"/>
    <w:rsid w:val="6EF82C09"/>
    <w:rsid w:val="6F1437AA"/>
    <w:rsid w:val="6F144840"/>
    <w:rsid w:val="6F1C4CB6"/>
    <w:rsid w:val="6F3247EE"/>
    <w:rsid w:val="6F4C29A7"/>
    <w:rsid w:val="6F8016B7"/>
    <w:rsid w:val="6F811189"/>
    <w:rsid w:val="6F90126A"/>
    <w:rsid w:val="6F924D5A"/>
    <w:rsid w:val="6FE52885"/>
    <w:rsid w:val="702F64F3"/>
    <w:rsid w:val="70D15763"/>
    <w:rsid w:val="71155CE6"/>
    <w:rsid w:val="715C3DC8"/>
    <w:rsid w:val="71A00827"/>
    <w:rsid w:val="71A3400A"/>
    <w:rsid w:val="71D117B7"/>
    <w:rsid w:val="722142B5"/>
    <w:rsid w:val="722D1A34"/>
    <w:rsid w:val="7235269F"/>
    <w:rsid w:val="727F447D"/>
    <w:rsid w:val="729E7329"/>
    <w:rsid w:val="72B5349C"/>
    <w:rsid w:val="72CF79FD"/>
    <w:rsid w:val="72DC690D"/>
    <w:rsid w:val="72E629F8"/>
    <w:rsid w:val="73000839"/>
    <w:rsid w:val="73173137"/>
    <w:rsid w:val="738051F2"/>
    <w:rsid w:val="739B7CFE"/>
    <w:rsid w:val="73A84830"/>
    <w:rsid w:val="74401312"/>
    <w:rsid w:val="744D3D5F"/>
    <w:rsid w:val="747E3150"/>
    <w:rsid w:val="748A7EA3"/>
    <w:rsid w:val="74947F1B"/>
    <w:rsid w:val="749709B5"/>
    <w:rsid w:val="74AB0D89"/>
    <w:rsid w:val="74B31BE7"/>
    <w:rsid w:val="75291FB0"/>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460404"/>
    <w:rsid w:val="797B5DAD"/>
    <w:rsid w:val="7A851574"/>
    <w:rsid w:val="7AF768A6"/>
    <w:rsid w:val="7B02055B"/>
    <w:rsid w:val="7B2B16B9"/>
    <w:rsid w:val="7B3D601A"/>
    <w:rsid w:val="7B441E41"/>
    <w:rsid w:val="7BA11C72"/>
    <w:rsid w:val="7BC4527F"/>
    <w:rsid w:val="7BF461E9"/>
    <w:rsid w:val="7C081A8C"/>
    <w:rsid w:val="7C3E0A9E"/>
    <w:rsid w:val="7C6C7D02"/>
    <w:rsid w:val="7C843053"/>
    <w:rsid w:val="7C8A09A6"/>
    <w:rsid w:val="7CA0532C"/>
    <w:rsid w:val="7CC65D44"/>
    <w:rsid w:val="7CD66151"/>
    <w:rsid w:val="7CFD109F"/>
    <w:rsid w:val="7D010F82"/>
    <w:rsid w:val="7D2D35BB"/>
    <w:rsid w:val="7DA2571C"/>
    <w:rsid w:val="7E1B7E50"/>
    <w:rsid w:val="7E1E38BB"/>
    <w:rsid w:val="7E3B62F0"/>
    <w:rsid w:val="7E6F76BF"/>
    <w:rsid w:val="7ED77F8E"/>
    <w:rsid w:val="7F311135"/>
    <w:rsid w:val="7F6F451C"/>
    <w:rsid w:val="7F94396A"/>
    <w:rsid w:val="7FAE07B5"/>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basedOn w:val="1"/>
    <w:link w:val="123"/>
    <w:qFormat/>
    <w:uiPriority w:val="99"/>
    <w:pPr>
      <w:widowControl w:val="0"/>
      <w:spacing w:after="160"/>
    </w:pPr>
    <w:rPr>
      <w:rFonts w:ascii="Arial" w:hAnsi="Arial"/>
      <w:b/>
      <w:sz w:val="18"/>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435">
    <w:name w:val="Revision3"/>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7B631-2440-4D2A-B55E-F6CB7BDE294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931</Words>
  <Characters>5313</Characters>
  <Lines>44</Lines>
  <Paragraphs>12</Paragraphs>
  <TotalTime>28</TotalTime>
  <ScaleCrop>false</ScaleCrop>
  <LinksUpToDate>false</LinksUpToDate>
  <CharactersWithSpaces>6232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2024-05-09T15:31:00Z</dcterms:created>
  <dc:creator>ZTE</dc:creator>
  <cp:lastModifiedBy>ZTE Corporation, Sanechips</cp:lastModifiedBy>
  <cp:lastPrinted>2411-12-31T15:59:00Z</cp:lastPrinted>
  <dcterms:modified xsi:type="dcterms:W3CDTF">2025-02-07T08:14:14Z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2DDD04A79CED4137ACCB547F5AF4C572</vt:lpwstr>
  </property>
</Properties>
</file>